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880"/>
        <w:gridCol w:w="854"/>
        <w:gridCol w:w="276"/>
        <w:gridCol w:w="4951"/>
        <w:gridCol w:w="825"/>
        <w:gridCol w:w="933"/>
        <w:gridCol w:w="2877"/>
        <w:gridCol w:w="686"/>
        <w:gridCol w:w="417"/>
        <w:gridCol w:w="1247"/>
        <w:gridCol w:w="26"/>
        <w:gridCol w:w="26"/>
      </w:tblGrid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14" w:type="pct"/>
          </w:tcPr>
          <w:p w:rsidR="00E71423" w:rsidRDefault="00E71423">
            <w:pPr>
              <w:pStyle w:val="EMPTYCELLSTYLE"/>
            </w:pPr>
          </w:p>
        </w:tc>
        <w:tc>
          <w:tcPr>
            <w:tcW w:w="235" w:type="pct"/>
          </w:tcPr>
          <w:p w:rsidR="00E71423" w:rsidRDefault="00E71423">
            <w:pPr>
              <w:pStyle w:val="EMPTYCELLSTYLE"/>
            </w:pPr>
          </w:p>
        </w:tc>
        <w:tc>
          <w:tcPr>
            <w:tcW w:w="76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805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1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49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04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261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65" w:type="pct"/>
          </w:tcPr>
          <w:p w:rsidR="00E71423" w:rsidRDefault="00E71423">
            <w:pPr>
              <w:pStyle w:val="EMPTYCELLSTYLE"/>
            </w:pPr>
          </w:p>
        </w:tc>
        <w:tc>
          <w:tcPr>
            <w:tcW w:w="407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</w:tcPr>
          <w:p w:rsidR="00E71423" w:rsidRDefault="00E71423">
            <w:pPr>
              <w:pStyle w:val="EMPTYCELLSTYLE"/>
            </w:pPr>
          </w:p>
        </w:tc>
        <w:tc>
          <w:tcPr>
            <w:tcW w:w="235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842" w:type="pct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INFORMACIÓN RELATIVA ÓS CONTRATOS MENORES ADXUDICADOS POLA DEPUTACIÓN DE PONTEVEDRA DENDE O 01/04/2023 ATA O 30/06/2023</w:t>
            </w:r>
          </w:p>
        </w:tc>
        <w:tc>
          <w:tcPr>
            <w:tcW w:w="165" w:type="pct"/>
          </w:tcPr>
          <w:p w:rsidR="00E71423" w:rsidRDefault="00E71423">
            <w:pPr>
              <w:pStyle w:val="EMPTYCELLSTYLE"/>
            </w:pPr>
          </w:p>
        </w:tc>
        <w:tc>
          <w:tcPr>
            <w:tcW w:w="407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</w:tcPr>
          <w:p w:rsidR="00E71423" w:rsidRDefault="00E71423">
            <w:pPr>
              <w:pStyle w:val="EMPTYCELLSTYLE"/>
            </w:pPr>
          </w:p>
        </w:tc>
        <w:tc>
          <w:tcPr>
            <w:tcW w:w="235" w:type="pct"/>
          </w:tcPr>
          <w:p w:rsidR="00E71423" w:rsidRDefault="00E71423">
            <w:pPr>
              <w:pStyle w:val="EMPTYCELLSTYLE"/>
            </w:pPr>
          </w:p>
        </w:tc>
        <w:tc>
          <w:tcPr>
            <w:tcW w:w="76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805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1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49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04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261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65" w:type="pct"/>
          </w:tcPr>
          <w:p w:rsidR="00E71423" w:rsidRDefault="00E71423">
            <w:pPr>
              <w:pStyle w:val="EMPTYCELLSTYLE"/>
            </w:pPr>
          </w:p>
        </w:tc>
        <w:tc>
          <w:tcPr>
            <w:tcW w:w="407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4963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</w:rPr>
              <w:t>De conformidade co establecido no artigo 8 da Lei 19/2013, de 9 de decembro, de transparencia, acceso á información pública e bo goberno, publícase a información relativa ós contratos menores adxudicados pola Deputación de Pontevedra durante o primeiro trimestre de 2015 tramitados polo servizo de Contratación, Facenda e Patrimonio.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</w:tcPr>
          <w:p w:rsidR="00E71423" w:rsidRDefault="00E71423">
            <w:pPr>
              <w:pStyle w:val="EMPTYCELLSTYLE"/>
            </w:pPr>
          </w:p>
        </w:tc>
        <w:tc>
          <w:tcPr>
            <w:tcW w:w="235" w:type="pct"/>
          </w:tcPr>
          <w:p w:rsidR="00E71423" w:rsidRDefault="00E71423">
            <w:pPr>
              <w:pStyle w:val="EMPTYCELLSTYLE"/>
            </w:pPr>
          </w:p>
        </w:tc>
        <w:tc>
          <w:tcPr>
            <w:tcW w:w="76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805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1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49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04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261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65" w:type="pct"/>
          </w:tcPr>
          <w:p w:rsidR="00E71423" w:rsidRDefault="00E71423">
            <w:pPr>
              <w:pStyle w:val="EMPTYCELLSTYLE"/>
            </w:pPr>
          </w:p>
        </w:tc>
        <w:tc>
          <w:tcPr>
            <w:tcW w:w="407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2429" w:type="pct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2547" w:type="pct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2023011586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emisión en televisión de material audiovisual do proxecto “0789_CAPITALIZA_ESTRAEE_1_E: capitalización de resultados da estratexia sostible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transfronteiriza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a xestión dos RAEE”,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cofinanciado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polo FEDER (75%) dentro da convocatoria de axudas de programa de Cooperación Territorial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Interreg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V- A España - Portugal (POCTEP) 2014-2020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8E636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TELEVISIÓ</w:t>
            </w:r>
            <w:r w:rsidR="00921A96">
              <w:rPr>
                <w:rFonts w:ascii="SansSerif" w:eastAsia="SansSerif" w:hAnsi="SansSerif" w:cs="SansSerif"/>
                <w:color w:val="000000"/>
                <w:sz w:val="16"/>
              </w:rPr>
              <w:t>N DA MANCOMUNIDADE DO SALNES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10.799,98 €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2023020013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Xestión das imaxes de promoción do destino “Pontevedra provincia” nos soportes de promoción do aeroporto de Vigo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LAU CREACIONS, S.L.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6.152,85 €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2023023127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Asistencia xurídica para exercer accións xudiciais en defensa da actuación da Deputación de Pontevedra en relación á desestimación do recurso de reposición interposto polo concello do Porriño contra o acordo polo que se exclúe a súa solicitude no marco do programa REACPON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Pr="008E6361" w:rsidRDefault="00921A96" w:rsidP="006A5106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Pr="008E6361" w:rsidRDefault="00921A96" w:rsidP="006A5106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Pr="008E6361" w:rsidRDefault="008E6361" w:rsidP="006A5106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8E6361">
              <w:rPr>
                <w:rFonts w:ascii="SansSerif" w:eastAsia="SansSerif" w:hAnsi="SansSerif" w:cs="SansSerif"/>
                <w:color w:val="000000"/>
                <w:sz w:val="16"/>
              </w:rPr>
              <w:t>DIEGO GOMEZ FERNANDEZ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Pr="008E6361" w:rsidRDefault="008E6361" w:rsidP="006A5106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8E6361">
              <w:rPr>
                <w:rFonts w:ascii="SansSerif" w:eastAsia="SansSerif" w:hAnsi="SansSerif" w:cs="SansSerif"/>
                <w:color w:val="000000"/>
                <w:sz w:val="16"/>
              </w:rPr>
              <w:t>9680, 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2023023190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dúas actuacións do grupo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Caamaño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&amp; Ameixeiras con cargo ao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REVENIDAS S.C.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4.840,00 €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2023023205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dúas actuacións do grupo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Gramola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Gominola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con cargo ao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JOSEFA MARIÑO CARREIRA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4.719,00 €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2023022303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Patrocinio do XII Foro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Galis</w:t>
            </w:r>
            <w:proofErr w:type="spellEnd"/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05/04/2023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ATELIER GRAFICA VISUAL, S.L.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2.998,38 €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2023014460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intervención artística de NUVI &amp;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éxfico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(Nuria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Villa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Alberto Álvarez) na II Edición do programa Mulleres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Extramuros</w:t>
            </w:r>
            <w:proofErr w:type="spellEnd"/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ALBERTO ALVAREZ BRANDON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7.000,00 €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2023014989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intervención artística de Carme Nogueira &amp; Javier Pérez de Lis na II Edición do programa Mulleres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Extramuros</w:t>
            </w:r>
            <w:proofErr w:type="spellEnd"/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JAVIER FERNANDEZ PEREZ DE LIS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9.999,99 €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2023019530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Actuacións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aseguramento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dos noiros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perimetrais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parcela na que se executan as obras de “Traslado do parque de maquinaria ao polígono de Barro"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TALUD VERDE SOCIEDAD LIMITADA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16.335,00 €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2023023192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Xisco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Feijoo con cargo ao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NALGURES PRODUCIONS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11.132,00 €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2023023206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Ortiga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Pili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Pampín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con cargo ao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ERNIE PRODUCCIONES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12.100,00 €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2" w:type="pct"/>
          </w:tcPr>
          <w:p w:rsidR="00E71423" w:rsidRDefault="00E71423">
            <w:pPr>
              <w:pStyle w:val="EMPTYCELLSTYLE"/>
              <w:pageBreakBefore/>
            </w:pPr>
            <w:bookmarkStart w:id="1" w:name="JR_PAGE_ANCHOR_0_3"/>
            <w:bookmarkEnd w:id="1"/>
          </w:p>
        </w:tc>
        <w:tc>
          <w:tcPr>
            <w:tcW w:w="314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0" w:type="pct"/>
            <w:gridSpan w:val="2"/>
          </w:tcPr>
          <w:p w:rsidR="00E71423" w:rsidRDefault="00E71423">
            <w:pPr>
              <w:pStyle w:val="EMPTYCELLSTYLE"/>
            </w:pPr>
          </w:p>
        </w:tc>
        <w:tc>
          <w:tcPr>
            <w:tcW w:w="1805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1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49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04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426" w:type="pct"/>
            <w:gridSpan w:val="2"/>
          </w:tcPr>
          <w:p w:rsidR="00E71423" w:rsidRDefault="00E71423">
            <w:pPr>
              <w:pStyle w:val="EMPTYCELLSTYLE"/>
            </w:pPr>
          </w:p>
        </w:tc>
        <w:tc>
          <w:tcPr>
            <w:tcW w:w="407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2429" w:type="pct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2547" w:type="pct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2023024426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para un servizo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vixianza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tecnolóxica e intelixencia competitiva (IVTIC) dos retos do programa de compra pública innovadora da Deputación de 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LINKNOVATE SCIENCE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18.029,00 €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2023020102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deseño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impartición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formación en habilidades dixitais dentro do proxecto Da túa man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Pr="006A5106" w:rsidRDefault="006A5106" w:rsidP="006A5106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6A5106">
              <w:rPr>
                <w:rFonts w:ascii="SansSerif" w:eastAsia="SansSerif" w:hAnsi="SansSerif" w:cs="SansSerif"/>
                <w:color w:val="000000"/>
                <w:sz w:val="16"/>
              </w:rPr>
              <w:t>FORGAL FORMACION Y CONSULTORIA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Pr="006A5106" w:rsidRDefault="006A5106" w:rsidP="006A5106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6A5106">
              <w:rPr>
                <w:rFonts w:ascii="SansSerif" w:eastAsia="SansSerif" w:hAnsi="SansSerif" w:cs="SansSerif"/>
                <w:color w:val="000000"/>
                <w:sz w:val="16"/>
              </w:rPr>
              <w:t>6.730,02 €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Pr="006A5106" w:rsidRDefault="00921A96" w:rsidP="006A5106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Promoción de emprego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2023013417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Mantemento do centro de transformación que dá subministro eléctrico ás instalacións do Pazo Provincial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JOSE ANTONIO CUEVAS RIVAS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544,50 €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2023027252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Subvención en especie &gt;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Adquisicón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trofeos para  Festas Patronais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Candeán</w:t>
            </w:r>
            <w:proofErr w:type="spellEnd"/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TORRADO STREET SOCIEDAD LIMITADA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111,32 €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2023027263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Subvención en especie &gt;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Adquisión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trofeso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 Festa do Viño Tinto Ribadumia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TORRADO STREET SOCIEDAD LIMITADA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143,99 €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Infraestruturas e Vías Provinciais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2023024726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71423" w:rsidRDefault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espazo expositivo e servizos necesarios para a participación na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feria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Expovacaciones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que se celebrará no Bilbao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Exhibition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Centre de Bilbao do 5 ao 7 de maio de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BILBAO EXHIBITION CENTRE SA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5.355,35 €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71423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2023014170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intervención artística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Iva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Viana na II Edición do programa Mulleres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Extramuros</w:t>
            </w:r>
            <w:proofErr w:type="spellEnd"/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IVA MARIANA VIANA  CORREIRA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12.000,00 €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2023025149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dunha axencia de viaxes para xestión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Roteiro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das Maceiras en Flor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BOOTS &amp; GRAPES TOURS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4.920,60 €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2023025815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dúas actuacións do grupo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Pelepau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sinfónico con cargo ao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ODAIKO KREA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16.800,00 €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2023029557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Subvención en especie &gt; Adquisición de figuras de cristal para 3ª ROMARÍA DA MÚSICA DE RIBADUMIA.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GUIMERANS TROFEOS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91,96 €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2023024122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ponte do servizo de tratamento, impresión, pregado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ensobrado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cartas ordinarias e notificacións xeradas na xestión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recaudación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tributos pola Deputación de Pontevedra-Oral, así como a súa posterior entrega ó operador postal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CONSORCIO DE MANIPULADO Y </w:t>
            </w:r>
            <w:r w:rsidR="00527431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S POSTALES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17.293,32 €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6A510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ORAL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2023025810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Deseño, instalación e atención dun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stand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a participación na feira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Expovacaciones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que se celebrará no Bilbao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Exhibition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Centre de Bilbao do 5 ao 7 de maio de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GRUPO NORTE MCA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17.968,50 €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2023025814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dúas actuacións do grupo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Laroá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con cargo ao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27/04/2023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DIBAY EVENTOS SOCIEDAD LIMITADA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15.020,00 €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2023020839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Mellora da seguridade viaria na EP 8702 Catoira - Torres de Oeste (Concello de Catoira).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CONSTRUCCIONES ENRIQUE C CASAS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46.183,36 €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Infraestruturas e Vías Provinciais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2023028093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Jdecaux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España do aluguer durante tres semanas de 16 espazos de publicidade estática en Pontevedra para a campaña “E se fose hoxe?”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JCDecaux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España S.L.U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4.878,72 €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2" w:type="pct"/>
          </w:tcPr>
          <w:p w:rsidR="00E71423" w:rsidRDefault="00E71423">
            <w:pPr>
              <w:pStyle w:val="EMPTYCELLSTYLE"/>
              <w:pageBreakBefore/>
            </w:pPr>
            <w:bookmarkStart w:id="2" w:name="JR_PAGE_ANCHOR_0_4"/>
            <w:bookmarkEnd w:id="2"/>
          </w:p>
        </w:tc>
        <w:tc>
          <w:tcPr>
            <w:tcW w:w="314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0" w:type="pct"/>
            <w:gridSpan w:val="2"/>
          </w:tcPr>
          <w:p w:rsidR="00E71423" w:rsidRDefault="00E71423">
            <w:pPr>
              <w:pStyle w:val="EMPTYCELLSTYLE"/>
            </w:pPr>
          </w:p>
        </w:tc>
        <w:tc>
          <w:tcPr>
            <w:tcW w:w="1805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1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49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04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426" w:type="pct"/>
            <w:gridSpan w:val="2"/>
          </w:tcPr>
          <w:p w:rsidR="00E71423" w:rsidRDefault="00E71423">
            <w:pPr>
              <w:pStyle w:val="EMPTYCELLSTYLE"/>
            </w:pPr>
          </w:p>
        </w:tc>
        <w:tc>
          <w:tcPr>
            <w:tcW w:w="407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2429" w:type="pct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2547" w:type="pct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E71423" w:rsidTr="006A5106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1423" w:rsidRDefault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13" w:type="pct"/>
          </w:tcPr>
          <w:p w:rsidR="00E71423" w:rsidRDefault="00E71423">
            <w:pPr>
              <w:pStyle w:val="EMPTYCELLSTYLE"/>
            </w:pPr>
          </w:p>
        </w:tc>
        <w:tc>
          <w:tcPr>
            <w:tcW w:w="12" w:type="pct"/>
          </w:tcPr>
          <w:p w:rsidR="00E71423" w:rsidRDefault="00E71423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2023030756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Adquisición trofeos para Asociación de Mus Rias Baixas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GUIMERANS TROFEOS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125,84 €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2023030764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Adquisición agasallos de cristal para ADICAM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GUIMERANS TROFEOS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137,94 €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2023031113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Adquisición camisetas para  Asociación Española Contra o Cancro- O Grove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EDICIONES Y PRODUCCIONES EMPRESARIALES SA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2.108,16 €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2023005885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 subministración de seis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intercomunicadores</w:t>
            </w:r>
            <w:proofErr w:type="spellEnd"/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TEDITRONIC,S.L.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10.828,75 €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2023027739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Subministro de mostradores, aluguer de carpas e montaxe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desmontaxe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o mercado conxunto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Depoemprende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2022-2023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CORPORACION DE COMUNICACIONES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14.395,37 €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Promoción de emprego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2023021378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Asistencia técnica para a redacción do proxecto básico e de execución das obras de conexión á rede municipal e construción dun depósito para a rede de abastecemento de auga da Cidade Infantil Príncipe Felipe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05/05/2023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SOLTEC INGENIEROS, S.L.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12.620,30 €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2023028757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mantemento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canalóns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, pasarelas e lucernarios dos edificios do Museo de Pontevedra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05/05/2023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ALBERTO PIÑEIRO LIFT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5.989,69 €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2023029046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Subministración de 6.100 bolsas serigrafiadas de tecido non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woven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eventos e campañas institucionais.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08/05/2023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PLASTICGRAPHIC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5.978,61 €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2023029583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dunha actuación do proxecto “Canto de emigración” da Orquestra Clásica de Vigo no ciclo “Música no Ar”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08/05/2023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ORQUESTA CLASICA DE VIGO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4.179,00 €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2023030714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Subministración e instalación dun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monolito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informativo con iluminación para o polígono industrial Outeda-Curro (Barro)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08/05/2023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LAU CREACIONS, S.L.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12.251,25 €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Asistencia Intermunicipal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2023017291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Substitución das carpinterías exteriores da Residencia Xuvenil do Centro Príncipe Felipe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EDIGRUP GLOBAL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43.183,18 €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2023026466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Prestación de servizos de análises no laboratorio da 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SEGURIDAD ALIMENTARIA DEL NOROESTE, S.L.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30.000,00 €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2023026470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Prestación do servizo de recollida de mostras nos portos de Galicia. Programa GALIS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SEGURIDAD ALIMENTARIA DEL NOROESTE, S.L.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42.350,00 €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2023031784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menor do servizo de vixilancia e seguridade da Parcela B-04 do Polígono Industrial Outeda-Curro (Barro)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SEGURSYSTEM EUROPA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10.859,51 €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Asistencia Intermunicipal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2023032657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Patrocinio deportivo "Pontevedra 4 PICOS BIKE 2023"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GLOBAL DXT PONTEVEDRA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4.840,00 €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Deportes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2023024197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Instalación dos sistemas de seguridade para o acceso e tránsito seguro nas cubertas dos edificios da obra “Traslado do parque de maquinaria ao polígono de Barro”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INSTALACIONES Y MANTENIMIENTOS TEAGSA, S.L.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22.798,22 €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  <w:pageBreakBefore/>
            </w:pPr>
            <w:bookmarkStart w:id="3" w:name="JR_PAGE_ANCHOR_0_5"/>
            <w:bookmarkEnd w:id="3"/>
          </w:p>
        </w:tc>
        <w:tc>
          <w:tcPr>
            <w:tcW w:w="314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0" w:type="pct"/>
            <w:gridSpan w:val="2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805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1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49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04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426" w:type="pct"/>
            <w:gridSpan w:val="2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407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2429" w:type="pct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A96" w:rsidRDefault="00921A96" w:rsidP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2547" w:type="pct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A96" w:rsidRDefault="00921A96" w:rsidP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A96" w:rsidRDefault="00921A96" w:rsidP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A96" w:rsidRDefault="00921A96" w:rsidP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A96" w:rsidRDefault="00921A96" w:rsidP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A96" w:rsidRDefault="00921A96" w:rsidP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A96" w:rsidRDefault="00921A96" w:rsidP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A96" w:rsidRDefault="00921A96" w:rsidP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A96" w:rsidRDefault="00921A96" w:rsidP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A96" w:rsidRDefault="00921A96" w:rsidP="00921A9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2023030300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Revisión de filtros móbiles do sistema de aspiración de po da Escola de Cantería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Senso Ingeniería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Instalaciones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S.L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9.740,89 €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2023031561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de cinco funcións do espectáculo "Habitarme" da Fundación Igual Arte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FUNDACION IGUAL ARTE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4.500,00 €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2023034989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Milladoiro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FRANCISCO GOMEZ SEIJO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921A96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2023034991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921A96" w:rsidRDefault="00921A96" w:rsidP="00921A96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dúas actuacións do grupo Uxía Lambona e A banda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Molona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TROULA ANIMACION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921A96" w:rsidRDefault="00921A96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921A96" w:rsidRDefault="00921A96" w:rsidP="00921A96">
            <w:pPr>
              <w:pStyle w:val="EMPTYCELLSTYLE"/>
            </w:pPr>
          </w:p>
        </w:tc>
        <w:tc>
          <w:tcPr>
            <w:tcW w:w="12" w:type="pct"/>
          </w:tcPr>
          <w:p w:rsidR="00921A96" w:rsidRDefault="00921A96" w:rsidP="00921A96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2023034986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04F18" w:rsidRDefault="00E04F18" w:rsidP="00E04F1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Uxía &amp; Javier Ruibal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COPERACTIVA CULTURAL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2023031178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04F18" w:rsidRDefault="00E04F18" w:rsidP="00E04F1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Deseño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maquetación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dun catálogo da exposición "Eloxio do Silencio"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Silverio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Rivas no Museo de Pontevedra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TAKTIKA COMUNICACION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2023031217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04F18" w:rsidRDefault="00E04F18" w:rsidP="00E04F1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Deseño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maquetación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dun catálogo da exposición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Gabarron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Atlántico. Ronsel de Saudade" no Museo de Pontevedra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ALEJANDRO ESTEBAN PRIETO DOMÍNGUEZ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2023033896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04F18" w:rsidRDefault="00E04F18" w:rsidP="00E04F1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Wöyza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&amp;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The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Galician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Messengers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EIDON MUSICA SRL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7.562,50 €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2023037065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04F18" w:rsidRDefault="00E04F18" w:rsidP="00E04F18">
            <w:r>
              <w:rPr>
                <w:rFonts w:ascii="SansSerif" w:eastAsia="SansSerif" w:hAnsi="SansSerif" w:cs="SansSerif"/>
                <w:color w:val="000000"/>
                <w:sz w:val="16"/>
              </w:rPr>
              <w:t>Adquisición de agasallos de cristal para Asociación de Mus Rias Baixas – Cidade de Pontevedra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GUIMERANS TROFEOS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45,98 €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2023037053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04F18" w:rsidRDefault="00E04F18" w:rsidP="00E04F18">
            <w:r>
              <w:rPr>
                <w:rFonts w:ascii="SansSerif" w:eastAsia="SansSerif" w:hAnsi="SansSerif" w:cs="SansSerif"/>
                <w:color w:val="000000"/>
                <w:sz w:val="16"/>
              </w:rPr>
              <w:t>Servizo de xestión e transporte de residuos perigosos xerados no  Servizo de Medio Ambiente: instalacións dos  campos deportivos sitas en Areeiro e a Finca de Soutomaior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AMPRO </w:t>
            </w:r>
            <w:r w:rsidR="00527431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S AMBIENTALES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1.584,00 €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2023031170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04F18" w:rsidRDefault="00E04F18" w:rsidP="00E04F1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ciclo Mestre Mateo,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circuito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cinema galego, para desenvolver na provincia de Pontevedra, ano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ASOC ACADEMIA GALEGA DO AUDIOVISUAL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18.119,75 €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2023033895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04F18" w:rsidRDefault="00E04F18" w:rsidP="00E04F1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Monoulious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DOP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SEISPES PRODUCIONS CREATIVAS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Sl</w:t>
            </w:r>
            <w:proofErr w:type="spellEnd"/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4.840,00 €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2023034990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04F18" w:rsidRDefault="00E04F18" w:rsidP="00E04F1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A Banda da Loba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SEISPES PRODUCIONS CREATIVAS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Sl</w:t>
            </w:r>
            <w:proofErr w:type="spellEnd"/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3.448,50 €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2023035758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04F18" w:rsidRDefault="00E04F18" w:rsidP="00E04F18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Dakidarría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OFICINA 360 SOCIEDADE COOP GALEGA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11.495,00 €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2023022715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04F18" w:rsidRDefault="00E04F18" w:rsidP="00E04F18">
            <w:r>
              <w:rPr>
                <w:rFonts w:ascii="SansSerif" w:eastAsia="SansSerif" w:hAnsi="SansSerif" w:cs="SansSerif"/>
                <w:color w:val="000000"/>
                <w:sz w:val="16"/>
              </w:rPr>
              <w:t>Obradoiro literatura. Unha visión de xénero, nos centros de ensino da provincia de Pontevedra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04F18" w:rsidRDefault="006A5106" w:rsidP="006A5106">
            <w:pPr>
              <w:jc w:val="center"/>
            </w:pPr>
            <w:r>
              <w:t>Asociación de  Escritores e escritoras en lingua galega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6A5106" w:rsidP="006A5106">
            <w:pPr>
              <w:jc w:val="center"/>
            </w:pPr>
            <w:r>
              <w:t>12.100 €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 w:rsidRPr="006A5106">
              <w:t xml:space="preserve">Servizos </w:t>
            </w:r>
            <w:proofErr w:type="spellStart"/>
            <w:r w:rsidRPr="006A5106">
              <w:t>Lingíisticos</w:t>
            </w:r>
            <w:proofErr w:type="spellEnd"/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2023038407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04F18" w:rsidRDefault="00E04F18" w:rsidP="00E04F18">
            <w:r>
              <w:rPr>
                <w:rFonts w:ascii="SansSerif" w:eastAsia="SansSerif" w:hAnsi="SansSerif" w:cs="SansSerif"/>
                <w:color w:val="000000"/>
                <w:sz w:val="16"/>
              </w:rPr>
              <w:t>Adquisición de carteis e programas por parte da imprenta provincial e aluguer de escenario e son para o CEIP plurilingüe nº1 de Tui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04F18" w:rsidRDefault="006A5106" w:rsidP="006A5106">
            <w:pPr>
              <w:jc w:val="center"/>
            </w:pPr>
            <w:proofErr w:type="spellStart"/>
            <w:r>
              <w:t>Artega</w:t>
            </w:r>
            <w:proofErr w:type="spellEnd"/>
            <w:r>
              <w:t xml:space="preserve"> y </w:t>
            </w:r>
            <w:proofErr w:type="spellStart"/>
            <w:r>
              <w:t>Musieventos</w:t>
            </w:r>
            <w:proofErr w:type="spellEnd"/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6A5106" w:rsidP="006A5106">
            <w:pPr>
              <w:jc w:val="center"/>
            </w:pPr>
            <w:r>
              <w:t>5.998,34 €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 w:rsidRPr="006A5106">
              <w:t>Comunicación Institucional</w:t>
            </w: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  <w:p w:rsidR="00E51C39" w:rsidRDefault="00E51C39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E04F18" w:rsidRDefault="00E04F18" w:rsidP="006A5106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2023029191</w:t>
            </w:r>
          </w:p>
          <w:p w:rsidR="00E51C39" w:rsidRDefault="00E51C39" w:rsidP="006A5106">
            <w:pPr>
              <w:jc w:val="center"/>
            </w:pP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380B56" w:rsidRDefault="00E04F18" w:rsidP="00E04F18">
            <w:pPr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redacción do proxecto técnico e dirección de obra para o </w:t>
            </w:r>
            <w:r w:rsidR="00527431"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instalación de puntos de recarga de vehículos eléctricos, dentro da actuación 5, do Plan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sostenibilidad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Turística do Deza Tabeirós “OS CAMIÑOS POR DENTRO”, </w:t>
            </w:r>
          </w:p>
          <w:p w:rsidR="00E04F18" w:rsidRDefault="00E04F18" w:rsidP="00E04F18">
            <w:r>
              <w:rPr>
                <w:rFonts w:ascii="SansSerif" w:eastAsia="SansSerif" w:hAnsi="SansSerif" w:cs="SansSerif"/>
                <w:color w:val="000000"/>
                <w:sz w:val="16"/>
              </w:rPr>
              <w:t>aprobado no marco do Plan De Recuperación, Transformación E Resiliencia – Financiado pola Unión Europea – NEXTGENERATION EU.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51C39" w:rsidP="006A5106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</w:t>
            </w:r>
            <w:r w:rsidR="00E04F18">
              <w:rPr>
                <w:rFonts w:ascii="SansSerif" w:eastAsia="SansSerif" w:hAnsi="SansSerif" w:cs="SansSerif"/>
                <w:color w:val="000000"/>
                <w:sz w:val="16"/>
              </w:rPr>
              <w:t>rdinario</w:t>
            </w:r>
          </w:p>
          <w:p w:rsidR="00E51C39" w:rsidRDefault="00E51C39" w:rsidP="006A5106">
            <w:pPr>
              <w:jc w:val="center"/>
            </w:pP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01/06/2023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CONTROL E INSPECCION REGLAMENTARIA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4.840,00 €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04F18" w:rsidRDefault="00E04F18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  <w:pageBreakBefore/>
            </w:pPr>
            <w:bookmarkStart w:id="4" w:name="JR_PAGE_ANCHOR_0_6"/>
            <w:bookmarkEnd w:id="4"/>
          </w:p>
        </w:tc>
        <w:tc>
          <w:tcPr>
            <w:tcW w:w="314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0" w:type="pct"/>
            <w:gridSpan w:val="2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805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1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49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04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426" w:type="pct"/>
            <w:gridSpan w:val="2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407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2429" w:type="pct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F18" w:rsidRDefault="00E04F18" w:rsidP="00E04F1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2547" w:type="pct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F18" w:rsidRDefault="00E04F18" w:rsidP="00E04F1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04F18" w:rsidTr="006A5106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F18" w:rsidRDefault="00E04F18" w:rsidP="00E04F1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F18" w:rsidRDefault="00E04F18" w:rsidP="00E04F1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F18" w:rsidRDefault="00E04F18" w:rsidP="00E04F1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F18" w:rsidRDefault="00E04F18" w:rsidP="00E04F1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F18" w:rsidRDefault="00E04F18" w:rsidP="00E04F1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F18" w:rsidRDefault="00E04F18" w:rsidP="00E04F1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F18" w:rsidRDefault="00E04F18" w:rsidP="00E04F1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4F18" w:rsidRDefault="00E04F18" w:rsidP="00E04F18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13" w:type="pct"/>
          </w:tcPr>
          <w:p w:rsidR="00E04F18" w:rsidRDefault="00E04F18" w:rsidP="00E04F18">
            <w:pPr>
              <w:pStyle w:val="EMPTYCELLSTYLE"/>
            </w:pPr>
          </w:p>
        </w:tc>
        <w:tc>
          <w:tcPr>
            <w:tcW w:w="12" w:type="pct"/>
          </w:tcPr>
          <w:p w:rsidR="00E04F18" w:rsidRDefault="00E04F18" w:rsidP="00E04F18">
            <w:pPr>
              <w:pStyle w:val="EMPTYCELLSTYLE"/>
            </w:pPr>
          </w:p>
        </w:tc>
      </w:tr>
      <w:tr w:rsidR="00E51C39" w:rsidTr="006A5106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2023029191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1C39" w:rsidRDefault="00E51C39" w:rsidP="00E51C39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redacción do proxecto técnico e dirección de obra para o </w:t>
            </w:r>
            <w:r w:rsidR="00527431"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instalación de puntos de recarga de vehículos eléctricos, dentro da actuación 5, do Plan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sostenibilidad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Turística do Deza Tabeirós “OS CAMIÑOS POR DENTRO”, aprobado no marco do Plan De Recuperación, Transformación E Resiliencia – Financiado pola Unión Europea – NEXTGENERATION EU.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01/06/2023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CONTROL E INSPECCION REGLAMENTARIA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4.840,00 €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13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</w:tr>
      <w:tr w:rsidR="00E51C39" w:rsidTr="006A5106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2023037098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1C39" w:rsidRDefault="00E51C39" w:rsidP="00E51C39"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 de 95 estoxos de Rosalía de Castro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01/06/2023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JOSÉ LUÍS TEÓFILO COMUNICACIÓN, S.L.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5.699,99 €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13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</w:tr>
      <w:tr w:rsidR="00E51C39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2023037703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1C39" w:rsidRDefault="00E51C39" w:rsidP="00E51C39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Deseño, instalación e atención dun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stand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a participación na feira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Turexpo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Galicia, que se celebrará en Silleda do 8 ao 11 de xuño de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01/06/2023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GRUPO NORTE MCA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17.520,80 €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13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</w:tr>
      <w:tr w:rsidR="00E51C39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2023028577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1C39" w:rsidRDefault="00E51C39" w:rsidP="00E51C39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servizo de coordinación, montaxe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desmontaxe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material e control dos ciclos “Música no Ar” e "Tras as ameas" da Deputación de Pontevedra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REVENIDAS S.C.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11.071,50 €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</w:tr>
      <w:tr w:rsidR="00E51C39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2023035492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1C39" w:rsidRDefault="00E51C39" w:rsidP="00E51C39"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 de 6 Unidades de Distribución Enerxética (PDU) para a Deputación de Pontevedra.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IPM, SLU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10.664,94 €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Novas Tecnoloxías</w:t>
            </w:r>
          </w:p>
        </w:tc>
        <w:tc>
          <w:tcPr>
            <w:tcW w:w="13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</w:tr>
      <w:tr w:rsidR="00E51C39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2023035767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1C39" w:rsidRDefault="00E51C39" w:rsidP="00E51C39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Susana Seivane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08/06/2023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VILAS Y PUGA ASOCIADOS SC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10.300,00 €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</w:tr>
      <w:tr w:rsidR="00E51C39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2023035769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1C39" w:rsidRDefault="00E51C39" w:rsidP="00E51C39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Orquestra Folk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Sondeseu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08/06/2023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NALGURES PRODUCIONS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14.997,95 €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</w:tr>
      <w:tr w:rsidR="00E51C39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2023035770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1C39" w:rsidRDefault="00E51C39" w:rsidP="00E51C39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Leilía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08/06/2023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COPERACTIVA CULTURAL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7.260,00 €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</w:tr>
      <w:tr w:rsidR="00E51C39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2023005382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1C39" w:rsidRDefault="00E51C39" w:rsidP="00E51C39">
            <w:r>
              <w:rPr>
                <w:rFonts w:ascii="SansSerif" w:eastAsia="SansSerif" w:hAnsi="SansSerif" w:cs="SansSerif"/>
                <w:color w:val="000000"/>
                <w:sz w:val="16"/>
              </w:rPr>
              <w:t>Asistencia técnica para a redacción do Proxecto de obras de conservación da casa de Combarro, propiedade da Deputación de Pontevedra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JOSE MANUEL FERNANDEZ BARREIRA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4.961,00 €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13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</w:tr>
      <w:tr w:rsidR="00E51C39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2023040393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1C39" w:rsidRDefault="00E51C39" w:rsidP="00E51C39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dunha actuación do grupo Caldo no programa “Tras as Ameas” da Deputación de Pontevedra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NAVE DE LATA SOC COOP GALEGA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3.968,80 €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</w:tr>
      <w:tr w:rsidR="00E51C39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2023042779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1C39" w:rsidRDefault="00E51C39" w:rsidP="00E51C39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 patrocinio publicitario do MUMI (Feira das Músicas no Miño - 2023)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ASOCIACIÓN CULTURAL MÚSICAS NO MINHO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15.000,01 €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</w:tr>
      <w:tr w:rsidR="00E51C39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2023043200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1C39" w:rsidRDefault="00E51C39" w:rsidP="00E51C39">
            <w:r>
              <w:rPr>
                <w:rFonts w:ascii="SansSerif" w:eastAsia="SansSerif" w:hAnsi="SansSerif" w:cs="SansSerif"/>
                <w:color w:val="000000"/>
                <w:sz w:val="16"/>
              </w:rPr>
              <w:t>Patrocinio de distribución do filme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Matria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"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MATRIUSKA PRODUCCIONES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15.125,00 €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E51C39" w:rsidRDefault="00E51C39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E51C39" w:rsidRDefault="00E51C39" w:rsidP="00E51C39">
            <w:pPr>
              <w:pStyle w:val="EMPTYCELLSTYLE"/>
            </w:pPr>
          </w:p>
        </w:tc>
        <w:tc>
          <w:tcPr>
            <w:tcW w:w="12" w:type="pct"/>
          </w:tcPr>
          <w:p w:rsidR="00E51C39" w:rsidRDefault="00E51C39" w:rsidP="00E51C39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2023038638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 empresa especializada na materia, para a realización da exposición "Pontevedra e América. Unha mirada en feminino 2023"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OUVIRMOS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12.702,58 €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2023035774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Familia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Caamagno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NAVE DE LATA SOC COOP GALEGA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4.840,00 €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2023038415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 estudo de paramentos dos edificios centrais do Museo de Pontevedra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UNIVERSIDADE DE MINHO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5.922,32 €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2023042998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Prospoección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xeofísica no Convento de Santa Clara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ROGER SALA BARTROLI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5.826,57 €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2023041191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Xestión e desenvolvemento de actividades de ocio e tempo libre durante os campamentos de verán destinados a nenos e nenas procedentes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Ucrania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Centro Príncipe Felipe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MAREXADA. DEPORTE, LECER E CULTURA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5.984,00 €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  <w:pageBreakBefore/>
            </w:pPr>
            <w:bookmarkStart w:id="5" w:name="JR_PAGE_ANCHOR_0_7"/>
            <w:bookmarkStart w:id="6" w:name="JR_PAGE_ANCHOR_0_10"/>
            <w:bookmarkEnd w:id="5"/>
            <w:bookmarkEnd w:id="6"/>
          </w:p>
        </w:tc>
        <w:tc>
          <w:tcPr>
            <w:tcW w:w="314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0" w:type="pct"/>
            <w:gridSpan w:val="2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805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1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49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04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426" w:type="pct"/>
            <w:gridSpan w:val="2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407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2429" w:type="pct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602" w:rsidRDefault="00F74602" w:rsidP="00F7460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2547" w:type="pct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602" w:rsidRDefault="00F74602" w:rsidP="00F7460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602" w:rsidRDefault="00F74602" w:rsidP="00F7460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602" w:rsidRDefault="00F74602" w:rsidP="00F7460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602" w:rsidRDefault="00F74602" w:rsidP="00F7460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602" w:rsidRDefault="00F74602" w:rsidP="00F7460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3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602" w:rsidRDefault="00F74602" w:rsidP="00F7460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Data da RP de adx.</w:t>
            </w:r>
          </w:p>
        </w:tc>
        <w:tc>
          <w:tcPr>
            <w:tcW w:w="10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602" w:rsidRDefault="00F74602" w:rsidP="00F7460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602" w:rsidRDefault="00F74602" w:rsidP="00F7460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Importe adx. con IVE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602" w:rsidRDefault="00F74602" w:rsidP="00F7460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2023010095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Patrocincio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deportivo "EPIC RACE PONTEVEDRA 2023"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GLOBAL DXT PONTEVEDRA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14.520,00 €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Deportes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2023034987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escavacion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perimetral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refectorio antigo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aillamento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das pinturas murais do interior do convento de Santa Clara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CITANIA-ARQUEOLOXIA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14.169,10 €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2023036828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dunha actuación do proxecto “Escoitando o silencio” de Javier Otero Neira no ciclo “Música no Ar”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CULTURACTIVA SOCIEDADE COOPERATIVA GALEGA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5.921,74 €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2023037487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 servizo de desenvolvemento dun servizo de integración entre o Sistema de Información Tributaria SIT-GTT e o programa de seguimento de expedientes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Gestiona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 obxectivo de facilitar a sinatura de documentos con 34 concellos da provincia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DIAPLE NETWORKING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11.761,20 €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Novas Tecnoloxías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2023041788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da xestión dos residuos tóxicos e perigosos xerados no taller de mantemento do Pazo Provincial 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AMPRO </w:t>
            </w:r>
            <w:r w:rsidR="00527431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S AMBIENTALES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2.431,00 €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2023042091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Subvención en especie &gt; Impresión material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Feria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XVI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Galiexpo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Motor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Show</w:t>
            </w:r>
            <w:proofErr w:type="spellEnd"/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IBERNON DIGITAL, S.L.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2.380,68 €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2023035760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Erea Castro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MUSIC ARTE REY SAAVEDRA, SC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5.626,50 €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2023035762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Lucía Pérez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LUCIA PEREZ VIZCAINO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10.500,00 €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2023035768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Odaiko dentro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ODAIKO KREA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8.400,00 €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2023040544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á base de datos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Evonik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Operations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Gmbh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o acceso a análises NIR de animais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monogástricos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o laboratorio da 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Deputación de Pontevedra.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Evonik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Operations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GmbH</w:t>
            </w:r>
            <w:proofErr w:type="spellEnd"/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21.000,00 €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2023040391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dunha actuación do grupo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Nastasia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Zürcher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The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Beautifull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Band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polo Día Europeo da Música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SEISPES PRODUCIONS CREATIVAS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Sl</w:t>
            </w:r>
            <w:proofErr w:type="spellEnd"/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5.324,00 €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2023043974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dunha actuación da Cámara Orquestra Barroca 430 da Orquestra Vigo 430 para o ciclo “Música no Ar”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ASOC ORQUESTRA VIGO 430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4.000,00 €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2023044032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dunha actuación do espectáculo “Once cancións e unha danza” de Alberto Vilas Cristina Suárez (dúo de piano e soprano) no ciclo “Música no Ar”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MUSICOS AO VIVO S COOP GALEGA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3.448,50 €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2023044292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dunha actuación de “Paxaro amigo. Músicas para a paz” de Mamá Cabra no programa “Tras as Ameas” da Deputación de Pontevedra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URDIME SOC COOPERATIVA GALEGA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3.250,00 €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2023031218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Subministro de tres columnas elevadoras móbiles electro-hidráulicas de 7,5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cada unha para as novas instalacións do Parque central de maquinaria no polígono Outeda - Curro en Barro.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</w:t>
            </w:r>
            <w:bookmarkStart w:id="7" w:name="_GoBack"/>
            <w:bookmarkEnd w:id="7"/>
            <w:r>
              <w:rPr>
                <w:rFonts w:ascii="SansSerif" w:eastAsia="SansSerif" w:hAnsi="SansSerif" w:cs="SansSerif"/>
                <w:color w:val="000000"/>
                <w:sz w:val="16"/>
              </w:rPr>
              <w:t>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12/05/2023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RS TURIA,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15.422,96 €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Infraestruturas e Vías Provinciais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2023043195</w:t>
            </w:r>
          </w:p>
        </w:tc>
        <w:tc>
          <w:tcPr>
            <w:tcW w:w="310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180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F74602" w:rsidRDefault="00F74602" w:rsidP="00F74602">
            <w:r>
              <w:rPr>
                <w:rFonts w:ascii="SansSerif" w:eastAsia="SansSerif" w:hAnsi="SansSerif" w:cs="SansSerif"/>
                <w:color w:val="000000"/>
                <w:sz w:val="16"/>
              </w:rPr>
              <w:t>Servizo de seguridade e vixilancia na Escola de Cantería</w:t>
            </w:r>
          </w:p>
        </w:tc>
        <w:tc>
          <w:tcPr>
            <w:tcW w:w="3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22/06/2023</w:t>
            </w:r>
          </w:p>
        </w:tc>
        <w:tc>
          <w:tcPr>
            <w:tcW w:w="10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74602" w:rsidRDefault="00527431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r w:rsidR="00F74602">
              <w:rPr>
                <w:rFonts w:ascii="SansSerif" w:eastAsia="SansSerif" w:hAnsi="SansSerif" w:cs="SansSerif"/>
                <w:color w:val="000000"/>
                <w:sz w:val="16"/>
              </w:rPr>
              <w:t>S SPR VILANOVA SL</w:t>
            </w:r>
          </w:p>
        </w:tc>
        <w:tc>
          <w:tcPr>
            <w:tcW w:w="426" w:type="pct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14.980,84 €</w:t>
            </w:r>
          </w:p>
        </w:tc>
        <w:tc>
          <w:tcPr>
            <w:tcW w:w="40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F74602" w:rsidRDefault="00F74602" w:rsidP="006A510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Escola de canteiros</w:t>
            </w: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  <w:tr w:rsidR="00F74602" w:rsidTr="006A51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2" w:type="pct"/>
          </w:tcPr>
          <w:p w:rsidR="00F74602" w:rsidRDefault="00F74602" w:rsidP="00F74602">
            <w:pPr>
              <w:pStyle w:val="EMPTYCELLSTYLE"/>
              <w:pageBreakBefore/>
            </w:pPr>
            <w:bookmarkStart w:id="8" w:name="JR_PAGE_ANCHOR_0_12"/>
            <w:bookmarkEnd w:id="8"/>
          </w:p>
        </w:tc>
        <w:tc>
          <w:tcPr>
            <w:tcW w:w="314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0" w:type="pct"/>
            <w:gridSpan w:val="2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805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11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349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042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426" w:type="pct"/>
            <w:gridSpan w:val="2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407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3" w:type="pct"/>
          </w:tcPr>
          <w:p w:rsidR="00F74602" w:rsidRDefault="00F74602" w:rsidP="00F74602">
            <w:pPr>
              <w:pStyle w:val="EMPTYCELLSTYLE"/>
            </w:pPr>
          </w:p>
        </w:tc>
        <w:tc>
          <w:tcPr>
            <w:tcW w:w="12" w:type="pct"/>
          </w:tcPr>
          <w:p w:rsidR="00F74602" w:rsidRDefault="00F74602" w:rsidP="00F74602">
            <w:pPr>
              <w:pStyle w:val="EMPTYCELLSTYLE"/>
            </w:pPr>
          </w:p>
        </w:tc>
      </w:tr>
    </w:tbl>
    <w:p w:rsidR="00921A96" w:rsidRDefault="00921A96"/>
    <w:sectPr w:rsidR="00921A96" w:rsidSect="00F74602">
      <w:pgSz w:w="16840" w:h="11900" w:orient="landscape" w:code="9"/>
      <w:pgMar w:top="403" w:right="1418" w:bottom="40" w:left="1418" w:header="0" w:footer="141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characterSpacingControl w:val="doNotCompress"/>
  <w:compat>
    <w:compatSetting w:name="compatibilityMode" w:uri="http://schemas.microsoft.com/office/word" w:val="12"/>
  </w:compat>
  <w:rsids>
    <w:rsidRoot w:val="00E71423"/>
    <w:rsid w:val="00380B56"/>
    <w:rsid w:val="00527431"/>
    <w:rsid w:val="006A5106"/>
    <w:rsid w:val="008E6361"/>
    <w:rsid w:val="00921A96"/>
    <w:rsid w:val="00E04F18"/>
    <w:rsid w:val="00E51C39"/>
    <w:rsid w:val="00E71423"/>
    <w:rsid w:val="00F7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70A6"/>
  <w15:docId w15:val="{B64F2E84-0DFC-4A44-B549-D9778E80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6CF6-EF5D-44DE-B87E-0C161755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Provincial de Pontevedra</Company>
  <LinksUpToDate>false</LinksUpToDate>
  <CharactersWithSpaces>21540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Yolanda Lois Peón</cp:lastModifiedBy>
  <cp:revision>3</cp:revision>
  <dcterms:created xsi:type="dcterms:W3CDTF">2023-07-14T12:23:00Z</dcterms:created>
  <dcterms:modified xsi:type="dcterms:W3CDTF">2023-07-14T13:25:00Z</dcterms:modified>
</cp:coreProperties>
</file>